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8"/>
          <w:szCs w:val="28"/>
        </w:rPr>
        <w:t xml:space="preserve">CRITICAL STANDARD</w:t>
      </w:r>
    </w:p>
    <w:p>
      <w:pPr>
        <w:pBdr>
          <w:bottom w:val="single" w:color="B8920A" w:sz="8" w:space="1"/>
        </w:pBdr>
        <w:spacing w:after="320" w:before="0"/>
      </w:pPr>
      <w:r>
        <w:rPr>
          <w:rFonts w:ascii="Arial" w:cs="Arial" w:eastAsia="Arial" w:hAnsi="Arial"/>
          <w:b/>
          <w:bCs/>
          <w:color w:val="B8920A"/>
          <w:sz w:val="24"/>
          <w:szCs w:val="24"/>
        </w:rPr>
        <w:t xml:space="preserve">Sales and Marketing Alignment Audit Scorecard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3D1C7"/>
                <w:sz w:val="17"/>
                <w:szCs w:val="17"/>
              </w:rPr>
              <w:t xml:space="preserve">Company</w:t>
            </w:r>
          </w:p>
          <w:p>
            <w:pPr>
              <w:pBdr>
                <w:bottom w:val="single" w:color="D3D1C7" w:sz="2"/>
              </w:pBdr>
              <w:spacing w:after="80" w:before="60"/>
            </w:pPr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3D1C7"/>
                <w:sz w:val="17"/>
                <w:szCs w:val="17"/>
              </w:rPr>
              <w:t xml:space="preserve">Date of Audit</w:t>
            </w:r>
          </w:p>
          <w:p>
            <w:pPr>
              <w:pBdr>
                <w:bottom w:val="single" w:color="D3D1C7" w:sz="2"/>
              </w:pBdr>
              <w:spacing w:after="80" w:before="60"/>
            </w:pPr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D3D1C7"/>
                <w:sz w:val="17"/>
                <w:szCs w:val="17"/>
              </w:rPr>
              <w:t xml:space="preserve">Prepared by</w:t>
            </w:r>
          </w:p>
          <w:p>
            <w:pPr>
              <w:pBdr>
                <w:bottom w:val="single" w:color="D3D1C7" w:sz="2"/>
              </w:pBdr>
              <w:spacing w:after="80" w:before="60"/>
            </w:pPr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>Critical Standard</w:t>
            </w:r>
          </w:p>
        </w:tc>
      </w:tr>
    </w:tbl>
    <w:p>
      <w:pPr>
        <w:spacing w:after="80" w:before="120"/>
      </w:pPr>
      <w:r>
        <w:rPr>
          <w:rFonts w:ascii="Arial" w:cs="Arial" w:eastAsia="Arial" w:hAnsi="Arial"/>
          <w:i/>
          <w:iCs/>
          <w:color w:val="444441"/>
          <w:sz w:val="17"/>
          <w:szCs w:val="17"/>
        </w:rPr>
        <w:t xml:space="preserve">How to use this scorecard: Score each item from 1 (not in place) to 5 (fully operational). A score below 30 in any section signals a significant performance gap. Total scores below 150 indicate systemic misalignment requiring structured intervention.</w:t>
      </w:r>
    </w:p>
    <w:p>
      <w:pPr>
        <w:spacing w:after="200" w:before="0"/>
      </w:pPr>
      <w:r>
        <w:rPr>
          <w:rFonts w:ascii="Arial" w:cs="Arial" w:eastAsia="Arial" w:hAnsi="Arial"/>
          <w:b/>
          <w:bCs/>
          <w:color w:val="1B2A4A"/>
          <w:sz w:val="17"/>
          <w:szCs w:val="17"/>
        </w:rPr>
        <w:t xml:space="preserve">Scoring guide: </w:t>
      </w:r>
      <w:r>
        <w:rPr>
          <w:rFonts w:ascii="Arial" w:cs="Arial" w:eastAsia="Arial" w:hAnsi="Arial"/>
          <w:color w:val="444441"/>
          <w:sz w:val="17"/>
          <w:szCs w:val="17"/>
        </w:rPr>
        <w:t xml:space="preserve">1 = Not in place   </w:t>
      </w:r>
      <w:r>
        <w:rPr>
          <w:rFonts w:ascii="Arial" w:cs="Arial" w:eastAsia="Arial" w:hAnsi="Arial"/>
          <w:color w:val="444441"/>
          <w:sz w:val="17"/>
          <w:szCs w:val="17"/>
        </w:rPr>
        <w:t xml:space="preserve">2 = Early stage   </w:t>
      </w:r>
      <w:r>
        <w:rPr>
          <w:rFonts w:ascii="Arial" w:cs="Arial" w:eastAsia="Arial" w:hAnsi="Arial"/>
          <w:color w:val="444441"/>
          <w:sz w:val="17"/>
          <w:szCs w:val="17"/>
        </w:rPr>
        <w:t xml:space="preserve">3 = Partially operational   </w:t>
      </w:r>
      <w:r>
        <w:rPr>
          <w:rFonts w:ascii="Arial" w:cs="Arial" w:eastAsia="Arial" w:hAnsi="Arial"/>
          <w:color w:val="444441"/>
          <w:sz w:val="17"/>
          <w:szCs w:val="17"/>
        </w:rPr>
        <w:t xml:space="preserve">4 = Mostly operational   </w:t>
      </w:r>
      <w:r>
        <w:rPr>
          <w:rFonts w:ascii="Arial" w:cs="Arial" w:eastAsia="Arial" w:hAnsi="Arial"/>
          <w:color w:val="444441"/>
          <w:sz w:val="17"/>
          <w:szCs w:val="17"/>
        </w:rPr>
        <w:t xml:space="preserve">5 = Fully operational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200"/>
        <w:gridCol w:w="1200"/>
        <w:gridCol w:w="1200"/>
        <w:gridCol w:w="25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Audit Category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Current Score (1-5)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 Score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Priority Gap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 / Evidence</w:t>
            </w:r>
          </w:p>
        </w:tc>
      </w:tr>
      <w:tr>
        <w:tc>
          <w:tcPr>
            <w:tcW w:type="dxa" w:w="9360"/>
            <w:gridSpan w:val="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Section 1: Attribution - Are you measuring the right things?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CRM is configured and actively maintained by both teams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Marketing touchpoints are tracked from first click to closed deal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UTM parameters are applied consistently across all digital channels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Paid, organic, and referral sources are attributed separately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Marketing-influenced revenue is reported to leadership monthly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Revenue attribution model is agreed upon by both sales and marketing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A/B test results inform channel investment decisions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Closed-lost deals are coded with a reason and reviewed regularly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Section 1 Total Score</w:t>
            </w:r>
          </w:p>
        </w:tc>
        <w:tc>
          <w:tcPr>
            <w:tcW w:type="dxa" w:w="61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                /  50</w:t>
            </w:r>
          </w:p>
        </w:tc>
      </w:tr>
      <w:tr>
        <w:tc>
          <w:tcPr>
            <w:tcW w:type="dxa" w:w="9360"/>
            <w:gridSpan w:val="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Section 2: Alignment - Are marketing and sales working from the same playbook?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and marketing share a single agreed-upon definition of a qualified lead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There is a documented lead handoff process both teams follow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Marketing and sales hold a standing joint meeting (weekly or biweekly)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Both teams report to a shared revenue goal, not separate departmental KPIs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Ideal Customer Profile is documented and agreed upon by both teams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provides structured feedback on lead quality to marketing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Marketing content is built around actual sales objections and buyer questions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team is aware of current campaigns and can speak to them in calls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There is no active blame culture between the two departments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Section 2 Total Score</w:t>
            </w:r>
          </w:p>
        </w:tc>
        <w:tc>
          <w:tcPr>
            <w:tcW w:type="dxa" w:w="61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                /  50</w:t>
            </w:r>
          </w:p>
        </w:tc>
      </w:tr>
      <w:tr>
        <w:tc>
          <w:tcPr>
            <w:tcW w:type="dxa" w:w="9360"/>
            <w:gridSpan w:val="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Section 3: Digital Performance - Is your spend producing pipeline?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Top-of-funnel lead volume is tracked month over month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Cost per lead by channel is calculated and reviewed quarterly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Lead-to-opportunity conversion rate is measured and benchmarked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Organic search traffic is tracked and tied to lead generation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Paid media performance is reviewed at a campaign level, not just budget level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Social media activity is evaluated on pipeline contribution, not engagement alone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Email marketing is tracked to opportunities, not just open rates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Digital spend is reallocated based on performance data, not habit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Section 3 Total Score</w:t>
            </w:r>
          </w:p>
        </w:tc>
        <w:tc>
          <w:tcPr>
            <w:tcW w:type="dxa" w:w="61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                /  50</w:t>
            </w:r>
          </w:p>
        </w:tc>
      </w:tr>
      <w:tr>
        <w:tc>
          <w:tcPr>
            <w:tcW w:type="dxa" w:w="9360"/>
            <w:gridSpan w:val="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Section 4: Sales Operations - Is the pipeline healthy and visible?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Pipeline is reviewed with accurate stage-level data at least biweekly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Average sales cycle length is documented and tracked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Win rate by lead source is calculated and reported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velocity (deals moving through stages) is tracked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Follow-up cadence for marketing-generated leads is documented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rep activity (calls, emails, meetings) is logged in the CRM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Forecast accuracy is within 15% of actual results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Section 4 Total Score</w:t>
            </w:r>
          </w:p>
        </w:tc>
        <w:tc>
          <w:tcPr>
            <w:tcW w:type="dxa" w:w="61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                /  50</w:t>
            </w:r>
          </w:p>
        </w:tc>
      </w:tr>
      <w:tr>
        <w:tc>
          <w:tcPr>
            <w:tcW w:type="dxa" w:w="9360"/>
            <w:gridSpan w:val="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Section 5: Team Infrastructure - Can your team execute at this scale?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Marketing has the internal capacity to execute the current strategy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Sales has the tools and training to convert the leads they receive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Technology stack is documented and each tool has a clear owner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Data from all platforms flows into one reporting view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Leadership reviews revenue performance data weekly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19"/>
                <w:szCs w:val="19"/>
              </w:rPr>
              <w:t xml:space="preserve">Team has access to a documented growth strategy they can reference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D3D1C7"/>
                <w:sz w:val="16"/>
                <w:szCs w:val="16"/>
              </w:rPr>
              <w:t xml:space="preserve">1  2  3  4  5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Section 5 Total Score</w:t>
            </w:r>
          </w:p>
        </w:tc>
        <w:tc>
          <w:tcPr>
            <w:tcW w:type="dxa" w:w="616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                /  50</w:t>
            </w:r>
          </w:p>
        </w:tc>
      </w:tr>
      <w:tr>
        <w:tc>
          <w:tcPr>
            <w:tcW w:type="dxa" w:w="9360"/>
            <w:gridSpan w:val="5"/>
            <w:tcBorders>
              <w:top w:val="single" w:color="B8920A" w:sz="6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OVERALL ALIGNMENT SCORE:   </w:t>
            </w:r>
            <w:r>
              <w:rPr>
                <w:rFonts w:ascii="Arial" w:cs="Arial" w:eastAsia="Arial" w:hAnsi="Arial"/>
                <w:b/>
                <w:bCs/>
                <w:color w:val="B8920A"/>
                <w:sz w:val="22"/>
                <w:szCs w:val="22"/>
              </w:rPr>
              <w:t xml:space="preserve">            / 200</w:t>
            </w:r>
            <w:r>
              <w:rPr>
                <w:rFonts w:ascii="Arial" w:cs="Arial" w:eastAsia="Arial" w:hAnsi="Arial"/>
                <w:color w:val="D3D1C7"/>
                <w:sz w:val="17"/>
                <w:szCs w:val="17"/>
              </w:rPr>
              <w:t xml:space="preserve">          |   Score interpretation: 160-200 = Strong   |   100-159 = Moderate gaps   |   Below 100 = Systemic misalignment</w:t>
            </w:r>
          </w:p>
        </w:tc>
      </w:tr>
    </w:tbl>
    <w:p>
      <w:pPr>
        <w:spacing w:after="80" w:before="2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Priority findings</w:t>
      </w:r>
    </w:p>
    <w:p>
      <w:pPr>
        <w:spacing w:after="40" w:before="0"/>
      </w:pPr>
      <w:r>
        <w:rPr>
          <w:rFonts w:ascii="Arial" w:cs="Arial" w:eastAsia="Arial" w:hAnsi="Arial"/>
          <w:i/>
          <w:iCs/>
          <w:color w:val="444441"/>
          <w:sz w:val="17"/>
          <w:szCs w:val="17"/>
        </w:rPr>
        <w:t xml:space="preserve">Use this space to summarize the three highest-impact gaps identified in the audit.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80"/>
        <w:gridCol w:w="468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No.</w:t>
            </w:r>
          </w:p>
        </w:tc>
        <w:tc>
          <w:tcPr>
            <w:tcW w:type="dxa" w:w="4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Gap identified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Recommended first action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1</w:t>
            </w:r>
          </w:p>
        </w:tc>
        <w:tc>
          <w:tcPr>
            <w:tcW w:type="dxa" w:w="4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2</w:t>
            </w:r>
          </w:p>
        </w:tc>
        <w:tc>
          <w:tcPr>
            <w:tcW w:type="dxa" w:w="4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EDD0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3</w:t>
            </w:r>
          </w:p>
        </w:tc>
        <w:tc>
          <w:tcPr>
            <w:tcW w:type="dxa" w:w="4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Next steps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80"/>
        <w:gridCol w:w="2040"/>
        <w:gridCol w:w="2040"/>
      </w:tblGrid>
      <w:tr>
        <w:tc>
          <w:tcPr>
            <w:tcW w:type="dxa" w:w="5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 item</w:t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Due date</w:t>
            </w:r>
          </w:p>
        </w:tc>
      </w:tr>
      <w:tr>
        <w:tc>
          <w:tcPr>
            <w:tcW w:type="dxa" w:w="5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1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D3D1C7" w:sz="4" w:space="1"/>
        </w:pBdr>
        <w:spacing w:after="0" w:before="280"/>
      </w:pPr>
      <w:r>
        <w:rPr>
          <w:rFonts w:ascii="Arial" w:cs="Arial" w:eastAsia="Arial" w:hAnsi="Arial"/>
          <w:color w:val="D3D1C7"/>
          <w:sz w:val="16"/>
          <w:szCs w:val="16"/>
        </w:rPr>
        <w:t xml:space="preserve">Critical Standard  |  This scorecard is proprietary and prepared exclusively for the named client.  |  criticalstandard.com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4444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2026-04-28T13:52:22.447Z</dcterms:created>
  <dcterms:modified xsi:type="dcterms:W3CDTF">2026-04-28T13:52:22.448Z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